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333333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color w:val="333333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1575"/>
          <w:tab w:val="left" w:pos="483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zh-CN"/>
        </w:rPr>
        <w:t>第十三届广东大中专学生校园十大歌手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1575"/>
          <w:tab w:val="left" w:pos="483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zh-CN"/>
        </w:rPr>
        <w:t>大赛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/>
        </w:rPr>
        <w:t>参赛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zh-CN"/>
        </w:rPr>
        <w:t>节目汇总表</w:t>
      </w:r>
    </w:p>
    <w:p>
      <w:pPr>
        <w:spacing w:after="156" w:afterLines="50" w:line="560" w:lineRule="exact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singl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学校名称（盖章）：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single"/>
        </w:rPr>
        <w:t xml:space="preserve">               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after="156" w:afterLines="50" w:line="5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30"/>
                <w:szCs w:val="30"/>
                <w:u w:val="single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序号</w:t>
            </w:r>
          </w:p>
        </w:tc>
        <w:tc>
          <w:tcPr>
            <w:tcW w:w="1704" w:type="dxa"/>
            <w:vAlign w:val="top"/>
          </w:tcPr>
          <w:p>
            <w:pPr>
              <w:spacing w:after="156" w:afterLines="50" w:line="5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30"/>
                <w:szCs w:val="30"/>
                <w:u w:val="single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学校名称</w:t>
            </w:r>
          </w:p>
        </w:tc>
        <w:tc>
          <w:tcPr>
            <w:tcW w:w="1704" w:type="dxa"/>
            <w:vAlign w:val="top"/>
          </w:tcPr>
          <w:p>
            <w:pPr>
              <w:spacing w:after="156" w:afterLines="50" w:line="5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30"/>
                <w:szCs w:val="30"/>
                <w:u w:val="single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参赛曲目</w:t>
            </w:r>
          </w:p>
        </w:tc>
        <w:tc>
          <w:tcPr>
            <w:tcW w:w="1705" w:type="dxa"/>
            <w:vAlign w:val="top"/>
          </w:tcPr>
          <w:p>
            <w:pPr>
              <w:spacing w:after="156" w:afterLines="50" w:line="5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30"/>
                <w:szCs w:val="30"/>
                <w:u w:val="single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组别</w:t>
            </w:r>
          </w:p>
        </w:tc>
        <w:tc>
          <w:tcPr>
            <w:tcW w:w="1705" w:type="dxa"/>
            <w:vAlign w:val="top"/>
          </w:tcPr>
          <w:p>
            <w:pPr>
              <w:spacing w:after="156" w:afterLines="50" w:line="5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30"/>
                <w:szCs w:val="30"/>
                <w:u w:val="single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after="156" w:afterLines="50" w:line="5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vAlign w:val="top"/>
          </w:tcPr>
          <w:p>
            <w:pPr>
              <w:spacing w:after="156" w:afterLines="50" w:line="560" w:lineRule="exact"/>
              <w:rPr>
                <w:rFonts w:hint="eastAsia" w:ascii="方正仿宋_GBK" w:hAnsi="方正仿宋_GBK" w:eastAsia="方正仿宋_GBK" w:cs="方正仿宋_GBK"/>
                <w:b w:val="0"/>
                <w:bCs/>
                <w:sz w:val="30"/>
                <w:szCs w:val="30"/>
                <w:u w:val="single"/>
                <w:vertAlign w:val="baseline"/>
              </w:rPr>
            </w:pPr>
          </w:p>
        </w:tc>
        <w:tc>
          <w:tcPr>
            <w:tcW w:w="1704" w:type="dxa"/>
            <w:vAlign w:val="top"/>
          </w:tcPr>
          <w:p>
            <w:pPr>
              <w:spacing w:after="156" w:afterLines="50" w:line="560" w:lineRule="exact"/>
              <w:rPr>
                <w:rFonts w:hint="eastAsia" w:ascii="方正仿宋_GBK" w:hAnsi="方正仿宋_GBK" w:eastAsia="方正仿宋_GBK" w:cs="方正仿宋_GBK"/>
                <w:b w:val="0"/>
                <w:bCs/>
                <w:sz w:val="30"/>
                <w:szCs w:val="30"/>
                <w:u w:val="single"/>
                <w:vertAlign w:val="baseline"/>
              </w:rPr>
            </w:pPr>
          </w:p>
        </w:tc>
        <w:tc>
          <w:tcPr>
            <w:tcW w:w="1705" w:type="dxa"/>
            <w:vAlign w:val="top"/>
          </w:tcPr>
          <w:p>
            <w:pPr>
              <w:spacing w:after="156" w:afterLines="50" w:line="560" w:lineRule="exact"/>
              <w:rPr>
                <w:rFonts w:hint="eastAsia" w:ascii="方正仿宋_GBK" w:hAnsi="方正仿宋_GBK" w:eastAsia="方正仿宋_GBK" w:cs="方正仿宋_GBK"/>
                <w:b w:val="0"/>
                <w:bCs/>
                <w:sz w:val="30"/>
                <w:szCs w:val="30"/>
                <w:u w:val="single"/>
                <w:vertAlign w:val="baseline"/>
              </w:rPr>
            </w:pPr>
          </w:p>
        </w:tc>
        <w:tc>
          <w:tcPr>
            <w:tcW w:w="1705" w:type="dxa"/>
            <w:vAlign w:val="top"/>
          </w:tcPr>
          <w:p>
            <w:pPr>
              <w:spacing w:after="156" w:afterLines="50" w:line="560" w:lineRule="exact"/>
              <w:rPr>
                <w:rFonts w:hint="eastAsia" w:ascii="方正仿宋_GBK" w:hAnsi="方正仿宋_GBK" w:eastAsia="方正仿宋_GBK" w:cs="方正仿宋_GBK"/>
                <w:b w:val="0"/>
                <w:bCs/>
                <w:sz w:val="30"/>
                <w:szCs w:val="30"/>
                <w:u w:val="singl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after="156" w:afterLines="50" w:line="5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  <w:vAlign w:val="top"/>
          </w:tcPr>
          <w:p>
            <w:pPr>
              <w:spacing w:after="156" w:afterLines="50" w:line="560" w:lineRule="exact"/>
              <w:rPr>
                <w:rFonts w:hint="eastAsia" w:ascii="方正仿宋_GBK" w:hAnsi="方正仿宋_GBK" w:eastAsia="方正仿宋_GBK" w:cs="方正仿宋_GBK"/>
                <w:b w:val="0"/>
                <w:bCs/>
                <w:sz w:val="30"/>
                <w:szCs w:val="30"/>
                <w:u w:val="single"/>
                <w:vertAlign w:val="baseline"/>
              </w:rPr>
            </w:pPr>
          </w:p>
        </w:tc>
        <w:tc>
          <w:tcPr>
            <w:tcW w:w="1704" w:type="dxa"/>
            <w:vAlign w:val="top"/>
          </w:tcPr>
          <w:p>
            <w:pPr>
              <w:spacing w:after="156" w:afterLines="50" w:line="560" w:lineRule="exact"/>
              <w:rPr>
                <w:rFonts w:hint="eastAsia" w:ascii="方正仿宋_GBK" w:hAnsi="方正仿宋_GBK" w:eastAsia="方正仿宋_GBK" w:cs="方正仿宋_GBK"/>
                <w:b w:val="0"/>
                <w:bCs/>
                <w:sz w:val="30"/>
                <w:szCs w:val="30"/>
                <w:u w:val="single"/>
                <w:vertAlign w:val="baseline"/>
              </w:rPr>
            </w:pPr>
          </w:p>
        </w:tc>
        <w:tc>
          <w:tcPr>
            <w:tcW w:w="1705" w:type="dxa"/>
            <w:vAlign w:val="top"/>
          </w:tcPr>
          <w:p>
            <w:pPr>
              <w:spacing w:after="156" w:afterLines="50" w:line="560" w:lineRule="exact"/>
              <w:rPr>
                <w:rFonts w:hint="eastAsia" w:ascii="方正仿宋_GBK" w:hAnsi="方正仿宋_GBK" w:eastAsia="方正仿宋_GBK" w:cs="方正仿宋_GBK"/>
                <w:b w:val="0"/>
                <w:bCs/>
                <w:sz w:val="30"/>
                <w:szCs w:val="30"/>
                <w:u w:val="single"/>
                <w:vertAlign w:val="baseline"/>
              </w:rPr>
            </w:pPr>
          </w:p>
        </w:tc>
        <w:tc>
          <w:tcPr>
            <w:tcW w:w="1705" w:type="dxa"/>
            <w:vAlign w:val="top"/>
          </w:tcPr>
          <w:p>
            <w:pPr>
              <w:spacing w:after="156" w:afterLines="50" w:line="560" w:lineRule="exact"/>
              <w:rPr>
                <w:rFonts w:hint="eastAsia" w:ascii="方正仿宋_GBK" w:hAnsi="方正仿宋_GBK" w:eastAsia="方正仿宋_GBK" w:cs="方正仿宋_GBK"/>
                <w:b w:val="0"/>
                <w:bCs/>
                <w:sz w:val="30"/>
                <w:szCs w:val="30"/>
                <w:u w:val="singl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after="156" w:afterLines="50" w:line="5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  <w:vAlign w:val="top"/>
          </w:tcPr>
          <w:p>
            <w:pPr>
              <w:spacing w:after="156" w:afterLines="50" w:line="560" w:lineRule="exact"/>
              <w:rPr>
                <w:rFonts w:hint="eastAsia" w:ascii="方正仿宋_GBK" w:hAnsi="方正仿宋_GBK" w:eastAsia="方正仿宋_GBK" w:cs="方正仿宋_GBK"/>
                <w:b w:val="0"/>
                <w:bCs/>
                <w:sz w:val="30"/>
                <w:szCs w:val="30"/>
                <w:u w:val="single"/>
                <w:vertAlign w:val="baseline"/>
              </w:rPr>
            </w:pPr>
          </w:p>
        </w:tc>
        <w:tc>
          <w:tcPr>
            <w:tcW w:w="1704" w:type="dxa"/>
            <w:vAlign w:val="top"/>
          </w:tcPr>
          <w:p>
            <w:pPr>
              <w:spacing w:after="156" w:afterLines="50" w:line="560" w:lineRule="exact"/>
              <w:rPr>
                <w:rFonts w:hint="eastAsia" w:ascii="方正仿宋_GBK" w:hAnsi="方正仿宋_GBK" w:eastAsia="方正仿宋_GBK" w:cs="方正仿宋_GBK"/>
                <w:b w:val="0"/>
                <w:bCs/>
                <w:sz w:val="30"/>
                <w:szCs w:val="30"/>
                <w:u w:val="single"/>
                <w:vertAlign w:val="baseline"/>
              </w:rPr>
            </w:pPr>
          </w:p>
        </w:tc>
        <w:tc>
          <w:tcPr>
            <w:tcW w:w="1705" w:type="dxa"/>
            <w:vAlign w:val="top"/>
          </w:tcPr>
          <w:p>
            <w:pPr>
              <w:spacing w:after="156" w:afterLines="50" w:line="560" w:lineRule="exact"/>
              <w:rPr>
                <w:rFonts w:hint="eastAsia" w:ascii="方正仿宋_GBK" w:hAnsi="方正仿宋_GBK" w:eastAsia="方正仿宋_GBK" w:cs="方正仿宋_GBK"/>
                <w:b w:val="0"/>
                <w:bCs/>
                <w:sz w:val="30"/>
                <w:szCs w:val="30"/>
                <w:u w:val="single"/>
                <w:vertAlign w:val="baseline"/>
              </w:rPr>
            </w:pPr>
          </w:p>
        </w:tc>
        <w:tc>
          <w:tcPr>
            <w:tcW w:w="1705" w:type="dxa"/>
            <w:vAlign w:val="top"/>
          </w:tcPr>
          <w:p>
            <w:pPr>
              <w:spacing w:after="156" w:afterLines="50" w:line="560" w:lineRule="exact"/>
              <w:rPr>
                <w:rFonts w:hint="eastAsia" w:ascii="方正仿宋_GBK" w:hAnsi="方正仿宋_GBK" w:eastAsia="方正仿宋_GBK" w:cs="方正仿宋_GBK"/>
                <w:b w:val="0"/>
                <w:bCs/>
                <w:sz w:val="30"/>
                <w:szCs w:val="30"/>
                <w:u w:val="singl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21"/>
          <w:szCs w:val="21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1"/>
          <w:szCs w:val="21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sz w:val="21"/>
          <w:szCs w:val="21"/>
          <w:lang w:val="en-US" w:eastAsia="zh-CN"/>
        </w:rPr>
        <w:t xml:space="preserve">1. </w:t>
      </w:r>
      <w:r>
        <w:rPr>
          <w:rFonts w:hint="default" w:ascii="Times New Roman" w:hAnsi="Times New Roman" w:eastAsia="方正仿宋_GBK" w:cs="Times New Roman"/>
          <w:sz w:val="21"/>
          <w:szCs w:val="21"/>
        </w:rPr>
        <w:t>各高校以学校为单位报送</w:t>
      </w:r>
      <w:r>
        <w:rPr>
          <w:rFonts w:hint="eastAsia" w:ascii="Times New Roman" w:hAnsi="Times New Roman" w:eastAsia="方正仿宋_GBK" w:cs="Times New Roman"/>
          <w:sz w:val="21"/>
          <w:szCs w:val="21"/>
          <w:lang w:eastAsia="zh-CN"/>
        </w:rPr>
        <w:t>参赛学生</w:t>
      </w:r>
      <w:r>
        <w:rPr>
          <w:rFonts w:hint="default" w:ascii="Times New Roman" w:hAnsi="Times New Roman" w:eastAsia="方正仿宋_GBK" w:cs="Times New Roman"/>
          <w:sz w:val="21"/>
          <w:szCs w:val="21"/>
        </w:rPr>
        <w:t>的报名材料，每个高校限报2至3组优秀选手（第3组选手须为专业组选手）。各中职技工学校</w:t>
      </w:r>
      <w:r>
        <w:rPr>
          <w:rFonts w:hint="eastAsia" w:ascii="Times New Roman" w:hAnsi="Times New Roman" w:eastAsia="方正仿宋_GBK" w:cs="Times New Roman"/>
          <w:sz w:val="21"/>
          <w:szCs w:val="21"/>
          <w:lang w:eastAsia="zh-CN"/>
        </w:rPr>
        <w:t>参赛学生</w:t>
      </w:r>
      <w:r>
        <w:rPr>
          <w:rFonts w:hint="default" w:ascii="Times New Roman" w:hAnsi="Times New Roman" w:eastAsia="方正仿宋_GBK" w:cs="Times New Roman"/>
          <w:sz w:val="21"/>
          <w:szCs w:val="21"/>
        </w:rPr>
        <w:t>的报名材料由所属地级以上市团委及省直机关团工委报送，每个地级以上市团委及省直机关团工委限报3组优秀选手（不分专业组和业余组选手）。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b w:val="0"/>
          <w:bCs/>
        </w:rPr>
      </w:pPr>
      <w:r>
        <w:rPr>
          <w:rFonts w:hint="default" w:ascii="Times New Roman" w:hAnsi="Times New Roman" w:eastAsia="方正仿宋_GBK" w:cs="Times New Roman"/>
          <w:sz w:val="21"/>
          <w:szCs w:val="21"/>
          <w:lang w:val="en-US" w:eastAsia="zh-CN"/>
        </w:rPr>
        <w:t xml:space="preserve">2. </w:t>
      </w:r>
      <w:r>
        <w:rPr>
          <w:rFonts w:hint="default" w:ascii="Times New Roman" w:hAnsi="Times New Roman" w:eastAsia="方正仿宋_GBK" w:cs="Times New Roman"/>
          <w:sz w:val="21"/>
          <w:szCs w:val="21"/>
        </w:rPr>
        <w:t>组别</w:t>
      </w:r>
      <w:r>
        <w:rPr>
          <w:rFonts w:hint="default" w:ascii="Times New Roman" w:hAnsi="Times New Roman" w:eastAsia="方正仿宋_GBK" w:cs="Times New Roman"/>
          <w:sz w:val="21"/>
          <w:szCs w:val="21"/>
          <w:lang w:val="en-US" w:eastAsia="zh-CN"/>
        </w:rPr>
        <w:t>项</w:t>
      </w:r>
      <w:r>
        <w:rPr>
          <w:rFonts w:hint="default" w:ascii="Times New Roman" w:hAnsi="Times New Roman" w:eastAsia="方正仿宋_GBK" w:cs="Times New Roman"/>
          <w:sz w:val="21"/>
          <w:szCs w:val="21"/>
        </w:rPr>
        <w:t>填写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“高校专业组”“高校非专业组”或“中职技工组”</w:t>
      </w:r>
      <w: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37048"/>
    <w:rsid w:val="3993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2018-10-30T12:18:00Z</dcterms:created>
  <dc:creator>Administrator</dc:creator>
  <cp:lastModifiedBy>Administrator</cp:lastModifiedBy>
  <dcterms:modified xsi:type="dcterms:W3CDTF">2018-10-30T12:19:08Z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